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10125</w:t>
        <w:t xml:space="preserve">.  </w:t>
      </w:r>
      <w:r>
        <w:rPr>
          <w:b/>
        </w:rPr>
        <w:t xml:space="preserve">Electric Vehicle Charging Infrastructure Fund</w:t>
      </w:r>
    </w:p>
    <w:p>
      <w:pPr>
        <w:jc w:val="both"/>
        <w:spacing w:before="100" w:after="100"/>
        <w:ind w:start="360"/>
        <w:ind w:firstLine="360"/>
      </w:pPr>
      <w:r>
        <w:rPr>
          <w:b/>
        </w:rPr>
        <w:t>1</w:t>
        <w:t xml:space="preserve">.  </w:t>
      </w:r>
      <w:r>
        <w:rPr>
          <w:b/>
        </w:rPr>
        <w:t xml:space="preserve">Fund established.</w:t>
        <w:t xml:space="preserve"> </w:t>
      </w:r>
      <w:r>
        <w:t xml:space="preserve"> </w:t>
      </w:r>
      <w:r>
        <w:t xml:space="preserve">The Electric Vehicle Charging Infrastructure Fund is established as a nonlapsing fund administered by the trust to increase the availability and effectiveness of electric vehicle charging infrastructure in the State. Any interest earned on funds in the fund must be credited to the fund, and funds not spent in any fiscal year remain in the fund to be used in accordance with this section. The trust may receive and deposit in the fund funds from the following sources:</w:t>
      </w:r>
    </w:p>
    <w:p>
      <w:pPr>
        <w:jc w:val="both"/>
        <w:spacing w:before="100" w:after="0"/>
        <w:ind w:start="720"/>
      </w:pPr>
      <w:r>
        <w:rPr/>
        <w:t>A</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258, §1 (NEW).]</w:t>
      </w:r>
    </w:p>
    <w:p>
      <w:pPr>
        <w:jc w:val="both"/>
        <w:spacing w:before="100" w:after="0"/>
        <w:ind w:start="720"/>
      </w:pPr>
      <w:r>
        <w:rPr/>
        <w:t>B</w:t>
        <w:t xml:space="preserve">.  </w:t>
      </w:r>
      <w:r>
        <w:rPr/>
      </w:r>
      <w:r>
        <w:t xml:space="preserve">Any interest earned on investment of fund balances; and</w:t>
      </w:r>
      <w:r>
        <w:t xml:space="preserve">  </w:t>
      </w:r>
      <w:r xmlns:wp="http://schemas.openxmlformats.org/drawingml/2010/wordprocessingDrawing" xmlns:w15="http://schemas.microsoft.com/office/word/2012/wordml">
        <w:rPr>
          <w:rFonts w:ascii="Arial" w:hAnsi="Arial" w:cs="Arial"/>
          <w:sz w:val="22"/>
          <w:szCs w:val="22"/>
        </w:rPr>
        <w:t xml:space="preserve">[PL 2019, c. 258, §1 (NEW).]</w:t>
      </w:r>
    </w:p>
    <w:p>
      <w:pPr>
        <w:jc w:val="both"/>
        <w:spacing w:before="100" w:after="0"/>
        <w:ind w:start="720"/>
      </w:pPr>
      <w:r>
        <w:rPr/>
        <w:t>C</w:t>
        <w:t xml:space="preserve">.  </w:t>
      </w:r>
      <w:r>
        <w:rPr/>
      </w:r>
      <w:r>
        <w:t xml:space="preserve">Any other funds from public or private sources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2019, c. 258, §1 (NEW).]</w:t>
      </w:r>
    </w:p>
    <w:p>
      <w:pPr>
        <w:jc w:val="both"/>
        <w:spacing w:before="100" w:after="0"/>
        <w:ind w:start="360"/>
      </w:pPr>
      <w:r>
        <w:rPr/>
      </w:r>
      <w:r>
        <w:rPr/>
      </w:r>
      <w:r>
        <w:t xml:space="preserve">The trust may expend funds received under </w:t>
      </w:r>
      <w:r>
        <w:t>paragraphs A</w:t>
      </w:r>
      <w:r>
        <w:t xml:space="preserve"> and </w:t>
      </w:r>
      <w:r>
        <w:t>C</w:t>
      </w:r>
      <w:r>
        <w:t xml:space="preserve"> consistent with the allowable uses of and any criteria or limitations placed upon the expenditure of those funds by the sources of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PL 2021, c. 402,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§10125. Electric Vehicle Charging Infrastructure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§10125. Electric Vehicle Charging Infrastructure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§10125. ELECTRIC VEHICLE CHARGING INFRASTRUCTURE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