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§10205. COMMERCIAL PACE ASSESSMENTS; COLLECTION;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