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3145</w:t>
        <w:t xml:space="preserve">.  </w:t>
      </w:r>
      <w:r>
        <w:rPr>
          <w:b/>
        </w:rPr>
        <w:t xml:space="preserve">State energy storage policy goals</w:t>
      </w:r>
    </w:p>
    <w:p>
      <w:pPr>
        <w:jc w:val="both"/>
        <w:spacing w:before="100" w:after="100"/>
        <w:ind w:start="360"/>
        <w:ind w:firstLine="360"/>
      </w:pPr>
      <w:r>
        <w:rPr/>
      </w:r>
      <w:r>
        <w:rPr/>
      </w:r>
      <w:r>
        <w:t xml:space="preserve">The state goal for energy storage system development is at least 300 megawatts of installed capacity located within the State by December 31, 2025 and at least 400 megawatts of installed capacity located within the State by December 31, 2030.  Beginning January 1, 2024, and every 2 years thereafter, the Governor's Energy Office established in </w:t>
      </w:r>
      <w:r>
        <w:t>Title 2, section 9</w:t>
      </w:r>
      <w:r>
        <w:t xml:space="preserve"> may reevaluate and increase the state goal for energy storage system development and report that goal to the joint standing committee of the Legislature having jurisdiction over energy and utilities matters.  For the purposes of this section, "energy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§1 (NEW). PL 2021, c. 676, Pt. A, §49 (AMD). PL 2023, c. 374,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§3145. State energy storage policy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§3145. State energy storage policy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§3145. STATE ENERGY STORAGE POLICY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