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4376</w:t>
        <w:t xml:space="preserve">.  </w:t>
      </w:r>
      <w:r>
        <w:rPr>
          <w:b/>
        </w:rPr>
        <w:t xml:space="preserve">Commission and other agency action if certification not granted</w:t>
      </w:r>
    </w:p>
    <w:p>
      <w:pPr>
        <w:jc w:val="both"/>
        <w:spacing w:before="100" w:after="100"/>
        <w:ind w:start="360"/>
        <w:ind w:firstLine="360"/>
      </w:pPr>
      <w:r>
        <w:rPr/>
      </w:r>
      <w:r>
        <w:rPr/>
      </w:r>
      <w:r>
        <w:t xml:space="preserve">If the conditions of </w:t>
      </w:r>
      <w:r>
        <w:t>section 4374</w:t>
      </w:r>
      <w:r>
        <w:t xml:space="preserve"> have not been met, the commission may continue to receive and process applications for certification, but may not certify a nuclear power plant.  Any other governmental entity which grants necessary permits, licenses, approvals or authorizations for construction of a nuclear power plant may process and grant those permits, licenses, approvals or authorizations, subject to the commission's granting of certification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§4376. Commission and other agency action if certification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§4376. Commission and other agency action if certification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§4376. COMMISSION AND OTHER AGENCY ACTION IF CERTIFICATION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