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Necessity of taking determined</w:t>
      </w:r>
    </w:p>
    <w:p>
      <w:pPr>
        <w:jc w:val="both"/>
        <w:spacing w:before="100" w:after="100"/>
        <w:ind w:start="360"/>
        <w:ind w:firstLine="360"/>
      </w:pPr>
      <w:r>
        <w:rPr/>
      </w:r>
      <w:r>
        <w:rPr/>
      </w:r>
      <w:r>
        <w:t xml:space="preserve">The owner of property which is subject to appropriation for public purposes by a water utility, upon hearing, may have the commission determine the necessity of the appropriation.</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§6701. Necessity of taking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Necessity of taking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§6701. NECESSITY OF TAKING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