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§9207. Collection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§9207. COLLECTION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