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9212</w:t>
        <w:t xml:space="preserve">.  </w:t>
      </w:r>
      <w:r>
        <w:rPr>
          <w:b/>
        </w:rPr>
        <w:t xml:space="preserve">Gifts and contributions</w:t>
      </w:r>
    </w:p>
    <w:p>
      <w:pPr>
        <w:jc w:val="both"/>
        <w:spacing w:before="100" w:after="100"/>
        <w:ind w:start="360"/>
        <w:ind w:firstLine="360"/>
      </w:pPr>
      <w:r>
        <w:rPr/>
      </w:r>
      <w:r>
        <w:rPr/>
      </w:r>
      <w:r>
        <w:t xml:space="preserve">The authority may accept gifts and contributions on behalf of the authority for the purpose of designing, constructing, reconstructing, renovating or acquiring a project.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100"/>
        <w:ind w:start="360"/>
        <w:ind w:firstLine="360"/>
      </w:pPr>
      <w:r>
        <w:rPr/>
      </w:r>
      <w:r>
        <w:rPr/>
      </w:r>
      <w:r>
        <w:t xml:space="preserve">The authority, in accepting gifts of money, federal funds or other types of income, shall place this money in a special account for the purpose for which it is provided. The authority may invest the money in accordance with the purposes of this chapter, subject to any limitations imposed by the donor.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§9212. Gifts and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§9212. Gifts and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§9212. GIFTS AND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