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w:t>
      </w:r>
      <w:r>
        <w:t>subsection 1, paragraph H</w:t>
      </w:r>
      <w:r>
        <w:t xml:space="preserve">,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805. COMPUTATION OF TAXABLE INCOME OF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