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w:t>
      </w:r>
    </w:p>
    <w:p>
      <w:pPr>
        <w:jc w:val="center"/>
        <w:ind w:start="360"/>
        <w:spacing w:before="300" w:after="300"/>
      </w:pPr>
      <w:r>
        <w:rPr>
          <w:b/>
        </w:rPr>
        <w:t xml:space="preserve">DEFERRED COLLECTION OF HOMESTEAD PROPERTY TAXES</w:t>
      </w:r>
    </w:p>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523, Pt. A, §14 (RPR).]</w:t>
      </w:r>
    </w:p>
    <w:p>
      <w:pPr>
        <w:jc w:val="both"/>
        <w:spacing w:before="100" w:after="0"/>
        <w:ind w:start="720"/>
      </w:pPr>
      <w:r>
        <w:rPr/>
        <w:t>C</w:t>
        <w:t xml:space="preserve">.  </w:t>
      </w:r>
      <w:r>
        <w:rPr/>
      </w:r>
      <w:r>
        <w:t xml:space="preserve">The taxpayer, if the sole owner of the property, has liquid assets of less than $50,000 or, for applications filed after January 1, 2024, less than $100,000. In the case of property that is owned by more than one owner, all the owners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523, Pt. A, §15 (RPR).]</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§§14, 15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PL 2023, c. 523, Pt. A, §§14, 15 (AMD). </w:t>
      </w:r>
    </w:p>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that may be released pursuant to </w:t>
      </w:r>
      <w:r>
        <w:t>section 6252‑A,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PL 2023, c. 523, Pt. A, §16 (AMD). </w:t>
      </w:r>
    </w:p>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owns more than one residential property within the State subject to an existing municipal lien is not eligible to claim a deferral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PL 2023, c. 613, Pt. A, §1 (AMD). </w:t>
      </w:r>
    </w:p>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908. DEFERRED COLLECTION OF HOMESTEAD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 DEFERRED COLLECTION OF HOMESTEAD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 DEFERRED COLLECTION OF HOMESTEAD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