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Owner's application</w:t>
      </w:r>
    </w:p>
    <w:p>
      <w:pPr>
        <w:jc w:val="both"/>
        <w:spacing w:before="100" w:after="100"/>
        <w:ind w:start="360"/>
        <w:ind w:firstLine="360"/>
      </w:pPr>
      <w:r>
        <w:rPr/>
      </w:r>
      <w:r>
        <w:rPr/>
      </w:r>
      <w:r>
        <w:t xml:space="preserve">An owner of farmland or open space land may apply for taxation under this subchapter by filing with the assessor the schedule provided for in </w:t>
      </w:r>
      <w:r>
        <w:t>section 1109</w:t>
      </w:r>
      <w:r>
        <w:t xml:space="preserve">.  The election to apply requires the written consent of all owners of an interest in that farmland or open space land.</w:t>
      </w:r>
      <w:r>
        <w:t xml:space="preserve">  </w:t>
      </w:r>
      <w:r xmlns:wp="http://schemas.openxmlformats.org/drawingml/2010/wordprocessingDrawing" xmlns:w15="http://schemas.microsoft.com/office/word/2012/wordml">
        <w:rPr>
          <w:rFonts w:ascii="Arial" w:hAnsi="Arial" w:cs="Arial"/>
          <w:sz w:val="22"/>
          <w:szCs w:val="22"/>
        </w:rPr>
        <w:t xml:space="preserve">[PL 2007, c. 438,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§2 (AMD). PL 1987, c. 728, §3 (AMD). PL 2007, c. 438,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§1103. Owner's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Owner's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§1103. OWNER'S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