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municipality. The action must be begun after the expiration of 8 months and within one year after August 1st following the date the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2023, c. 523,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PL 2023, c. 523,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§1284. Action to recover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Action to recover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§1284. ACTION TO RECOVER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