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1499-B</w:t>
        <w:t xml:space="preserve">.  </w:t>
      </w:r>
      <w:r>
        <w:rPr>
          <w:b/>
        </w:rPr>
        <w:t xml:space="preserve">Exemptions</w:t>
      </w:r>
    </w:p>
    <w:p>
      <w:pPr>
        <w:jc w:val="both"/>
        <w:spacing w:before="100" w:after="100"/>
        <w:ind w:start="360"/>
        <w:ind w:firstLine="360"/>
      </w:pPr>
      <w:r>
        <w:rPr/>
      </w:r>
      <w:r>
        <w:rPr/>
      </w:r>
      <w:r>
        <w:t xml:space="preserve">The Secretary of State has the power to make such exemptions from the coverage of the agreement as may be appropriate and to make such changes in methods for the reporting of any information required to be furnished to this State pursuant to the agreement as, in the Secretary of State's judgment, is suitable, provided that any such exemptions or changes are not contrary to the purposes set forth in </w:t>
      </w:r>
      <w:r>
        <w:t>section 1492, Article I</w:t>
      </w:r>
      <w:r>
        <w:t xml:space="preserve">,  and is made in order to permit the continuance of uniformity of practice among the contracting states with respect to buses. Any such exemption or change must be made by rule or regulation and is not effective unless made by the same procedure required for other rules and regulations of the Secretary of State's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§1499-B.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§1499-B.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§1499-B.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