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Excise tax in lieu of property taxes</w:t>
      </w:r>
    </w:p>
    <w:p>
      <w:pPr>
        <w:jc w:val="both"/>
        <w:spacing w:before="100" w:after="100"/>
        <w:ind w:start="360"/>
        <w:ind w:firstLine="360"/>
      </w:pPr>
      <w:r>
        <w:rPr/>
      </w:r>
      <w:r>
        <w:rPr/>
      </w:r>
      <w:r>
        <w:t xml:space="preserve">The excise tax imposed by this chapter is in lieu of all property taxes on watercraft.</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100"/>
        <w:ind w:start="360"/>
        <w:ind w:firstLine="360"/>
      </w:pPr>
      <w:r>
        <w:rPr>
          <w:b/>
        </w:rPr>
        <w:t>1</w:t>
        <w:t xml:space="preserve">.  </w:t>
      </w:r>
      <w:r>
        <w:rPr>
          <w:b/>
        </w:rPr>
        <w:t xml:space="preserve">Collection; 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632, Pt. A, §6 (NEW); PL 1983, c. 632, Pt. A, §16 (RP).]</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§§A6,A16,B6, B7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 Excise tax in lieu of property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Excise tax in lieu of property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§1502. EXCISE TAX IN LIEU OF PROPERTY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