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w:t>
        <w:t xml:space="preserve">.  </w:t>
      </w:r>
      <w:r>
        <w:rPr>
          <w:b/>
        </w:rPr>
        <w:t xml:space="preserve">Issuance of warrants or executions</w:t>
      </w:r>
    </w:p>
    <w:p>
      <w:pPr>
        <w:jc w:val="both"/>
        <w:spacing w:before="100" w:after="100"/>
        <w:ind w:start="360"/>
        <w:ind w:firstLine="360"/>
      </w:pPr>
      <w:r>
        <w:rPr/>
      </w:r>
      <w:r>
        <w:rPr/>
      </w:r>
      <w:r>
        <w:t xml:space="preserve">The Treasurer of State shall issue warrants or executions against delinquent towns, assessors, constables and collectors to enforce the collection and payment of state taxes in cases prescribed in this Title.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§254. Issuance of warrants or executions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 Issuance of warrants or executions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§254. ISSUANCE OF WARRANTS OR EXECUTIONS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