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Return and payment</w:t>
      </w:r>
    </w:p>
    <w:p>
      <w:pPr>
        <w:jc w:val="both"/>
        <w:spacing w:before="100" w:after="100"/>
        <w:ind w:start="360"/>
        <w:ind w:firstLine="360"/>
      </w:pPr>
      <w:r>
        <w:rPr/>
      </w:r>
      <w:r>
        <w:rPr/>
      </w:r>
      <w:r>
        <w:t xml:space="preserve">Every railroad company incorporated under the laws of this State or doing business in this State shall file with the State Tax Assessor annually, on or before April 15th, a railroad excise tax return, on a form prescribed by the State Tax Assessor.  The tax must be paid in equal installments on the next June 15th, September 15th and December 15th.  The Treasurer of State shall deposit all taxes paid under this chapter into the Multimodal Transportation Fund account established under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§25 (AMD).]</w:t>
      </w:r>
    </w:p>
    <w:p>
      <w:pPr>
        <w:jc w:val="both"/>
        <w:spacing w:before="100" w:after="0"/>
        <w:ind w:start="360"/>
        <w:ind w:firstLine="360"/>
      </w:pPr>
      <w:r>
        <w:rPr>
          <w:b/>
        </w:rPr>
        <w:t>1</w:t>
        <w:t xml:space="preserve">.  </w:t>
      </w:r>
      <w:r>
        <w:rPr>
          <w:b/>
        </w:rPr>
        <w:t xml:space="preserve">Railroad Freight Service Quality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§3 (NEW); MRSA T. 36 §2625, sub-§1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571, §8 (RPR). PL 2003, c. 498, §9 (AMD). PL 2003, c. 498, §12 (AFF). PL 2005, c. 248, §3 (AMD). PL 2005, c. 457, §GGG7 (AMD). PL 2011, c. 649, Pt. E, §5 (AMD). PL 2013, c. 424,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§2625. Return and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Return and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§2625. RETURN AND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