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Municipal valuation appeals</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equalized valuation or failure to meet minimum assessing standards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by November 15th, or, if November 15th is a Saturday, Sunday or holiday, the next business day after that November 15th, of the year the determination is made by the Bureau of Revenue Services.  The appeal to the board must be in writing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§5 (AMD).]</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January 15th following the date on which the appeal is taken.  The board shall order notice of hearing and give at least 5 days' notice prior to hearing  thereof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shall have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100"/>
        <w:ind w:start="360"/>
        <w:ind w:firstLine="360"/>
      </w:pPr>
      <w:r>
        <w:rPr>
          <w:b/>
        </w:rPr>
        <w:t>4</w:t>
        <w:t xml:space="preserve">.  </w:t>
      </w:r>
      <w:r>
        <w:rPr>
          <w:b/>
        </w:rPr>
        <w:t xml:space="preserve">Powers.</w:t>
        <w:t xml:space="preserve"> </w:t>
      </w:r>
      <w:r>
        <w:t xml:space="preserve"> </w:t>
      </w:r>
      <w:r>
        <w:t xml:space="preserve">The board, after hearing, shall have the power to:</w:t>
      </w:r>
    </w:p>
    <w:p>
      <w:pPr>
        <w:jc w:val="both"/>
        <w:spacing w:before="100" w:after="0"/>
        <w:ind w:start="720"/>
      </w:pPr>
      <w:r>
        <w:rPr/>
        <w:t>A</w:t>
        <w:t xml:space="preserve">.  </w:t>
      </w:r>
      <w:r>
        <w:rPr/>
      </w:r>
      <w:r>
        <w:t xml:space="preserve">Raise, lower or sustain the state valuation as determined by the Bureau of Revenue Services with respect to the municipality which has filed the appeal; or</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720"/>
      </w:pPr>
      <w:r>
        <w:rPr/>
        <w:t>B</w:t>
        <w:t xml:space="preserve">.  </w:t>
      </w:r>
      <w:r>
        <w:rPr/>
      </w:r>
      <w:r>
        <w:t xml:space="preserve">Raise, lower or sustain the bureau's determination of the municipality's achieved assessing standards and then, if the achieved standards were inadequate under the provisions of </w:t>
      </w:r>
      <w:r>
        <w:t>chapter 102, subchapter 5</w:t>
      </w:r>
      <w:r>
        <w:t xml:space="preserve">, and upon receiving from both the bureau and the municipality recommended solutions to the inadequate assessing practices, order the municipality to take the corrective steps the board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496, §8 (AMD).]</w:t>
      </w:r>
    </w:p>
    <w:p>
      <w:pPr>
        <w:jc w:val="both"/>
        <w:spacing w:before="100" w:after="0"/>
        <w:ind w:start="360"/>
      </w:pPr>
      <w:r>
        <w:rPr/>
      </w:r>
      <w:r>
        <w:rPr/>
      </w:r>
      <w:r>
        <w:t xml:space="preserve">The board shall certify its decision to the Bureau of Revenue Services which shall, if necessary, incorporate the decision in the valuation certified pursuant to </w:t>
      </w:r>
      <w:r>
        <w:t>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§8 (AMD).]</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shall be certified to the State Tax Assessor, who shall, if necessary, incorporate the decision in the valuation certified pursuant to </w:t>
      </w:r>
      <w:r>
        <w:t>section 305, subsection 1</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1989, c. 619 (AMD). PL 1997, c. 526, §14 (AMD). PL 2009, c. 496, §8 (AMD). PL 2019, c. 401,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 Municipal valuation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Municipal valuation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 MUNICIPAL VALUATION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