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3203-C</w:t>
        <w:t xml:space="preserve">.  </w:t>
      </w:r>
      <w:r>
        <w:rPr>
          <w:b/>
        </w:rPr>
        <w:t xml:space="preserve">Inventory tax</w:t>
      </w:r>
    </w:p>
    <w:p>
      <w:pPr>
        <w:jc w:val="both"/>
        <w:spacing w:before="100" w:after="100"/>
        <w:ind w:start="360"/>
        <w:ind w:firstLine="360"/>
      </w:pPr>
      <w:r>
        <w:rPr/>
      </w:r>
      <w:r>
        <w:rPr/>
      </w:r>
      <w:r>
        <w:t xml:space="preserve">On the date that any increase in the rate of tax imposed under this chapter takes effect, an inventory tax is imposed upon all distillates that are held in inventory by a supplier, wholesaler or retail dealer as of the end of the day prior to that date on which the tax imposed by </w:t>
      </w:r>
      <w:r>
        <w:t>section 3203, subsection 1‑B</w:t>
      </w:r>
      <w:r>
        <w:t xml:space="preserve"> has been paid.  The inventory tax is computed by multiplying the number of gallons of tax-paid fuel held in inventory by the difference between the tax rate already paid and the new tax rate.  Suppliers, wholesalers and retail dealers that hold such tax-paid inventory shall make payment of the inventory tax on or before the 15th day of the next calendar month, accompanied by a form prescribed and furnished by the State Tax Assessor.  In the event of a decrease in the tax rate, the supplier, wholesaler or retail dealer is entitled to a refund or credit, which must be claimed on a form designed and furnished by the assessor.</w:t>
      </w:r>
      <w:r>
        <w:t xml:space="preserve">  </w:t>
      </w:r>
      <w:r xmlns:wp="http://schemas.openxmlformats.org/drawingml/2010/wordprocessingDrawing" xmlns:w15="http://schemas.microsoft.com/office/word/2012/wordml">
        <w:rPr>
          <w:rFonts w:ascii="Arial" w:hAnsi="Arial" w:cs="Arial"/>
          <w:sz w:val="22"/>
          <w:szCs w:val="22"/>
        </w:rPr>
        <w:t xml:space="preserve">[PL 2009, c. 652, Pt. B, §8 (AMD); PL 2009, c. 652, Pt. B,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688, §7 (NEW). PL 2003, c. 390, §15 (AMD). PL 2009, c. 413, Pt. W, §3 (AMD). PL 2009, c. 413, Pt. W, §6 (AFF). PL 2009, c. 434, §51 (AMD). PL 2009, c. 434, §84 (AFF). PL 2009, c. 496, §20 (RPR). PL 2009, c. 652, Pt. B, §8 (AMD). PL 2009, c. 652, Pt. B,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§3203-C. Inventory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§3203-C. Inventory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§3203-C. INVENTORY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