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3914</w:t>
        <w:t xml:space="preserve">.  </w:t>
      </w:r>
      <w:r>
        <w:rPr>
          <w:b/>
        </w:rPr>
        <w:t xml:space="preserve">Arbitration agreement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with the other taxing authorities and with the personal representative to submit the controversy to the decision of a board consisting of one or any uneven number of arbitrators. The personal representative may make the agreement. The parties to the agreement shall select the arbitrator or arbitrators.</w:t>
      </w:r>
      <w:r>
        <w:t xml:space="preserve">  </w:t>
      </w:r>
      <w:r xmlns:wp="http://schemas.openxmlformats.org/drawingml/2010/wordprocessingDrawing" xmlns:w15="http://schemas.microsoft.com/office/word/2012/wordml">
        <w:rPr>
          <w:rFonts w:ascii="Arial" w:hAnsi="Arial" w:cs="Arial"/>
          <w:sz w:val="22"/>
          <w:szCs w:val="22"/>
        </w:rPr>
        <w:t xml:space="preserve">[PL 1983, c. 480,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§3914. Arbitration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§3914. Arbitration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§3914. ARBITRATION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