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3918</w:t>
        <w:t xml:space="preserve">.  </w:t>
      </w:r>
      <w:r>
        <w:rPr>
          <w:b/>
        </w:rPr>
        <w:t xml:space="preserve">Majority vote</w:t>
      </w:r>
    </w:p>
    <w:p>
      <w:pPr>
        <w:jc w:val="both"/>
        <w:spacing w:before="100" w:after="100"/>
        <w:ind w:start="360"/>
        <w:ind w:firstLine="360"/>
      </w:pPr>
      <w:r>
        <w:rPr/>
      </w:r>
      <w:r>
        <w:rPr/>
      </w:r>
      <w:r>
        <w:t xml:space="preserve">Except as provided in </w:t>
      </w:r>
      <w:r>
        <w:t>section 3916</w:t>
      </w:r>
      <w:r>
        <w:t xml:space="preserve"> in respect of the issuance of subpoenas, all questions arising in the course of the proceedings shall be determined by majority vote of the board.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§3918. Majority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§3918. Majority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§3918. MAJORITY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