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4074</w:t>
        <w:t xml:space="preserve">.  </w:t>
      </w:r>
      <w:r>
        <w:rPr>
          <w:b/>
        </w:rPr>
        <w:t xml:space="preserve">Authority of State Tax Assessor</w:t>
      </w:r>
    </w:p>
    <w:p>
      <w:pPr>
        <w:jc w:val="both"/>
        <w:spacing w:before="100" w:after="100"/>
        <w:ind w:start="360"/>
        <w:ind w:firstLine="360"/>
      </w:pPr>
      <w:r>
        <w:rPr/>
      </w:r>
      <w:r>
        <w:rPr/>
      </w:r>
      <w:r>
        <w:t xml:space="preserve">The State Tax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w:pPr>
        <w:jc w:val="both"/>
        <w:spacing w:before="100" w:after="100"/>
        <w:ind w:start="360"/>
        <w:ind w:firstLine="360"/>
      </w:pPr>
      <w:r>
        <w:rPr/>
      </w:r>
      <w:r>
        <w:rPr/>
      </w:r>
      <w:r>
        <w:t xml:space="preserve">The assessor may enforce the collection of taxes secured by bond in a civil action brought on the bond regardless of the fact that another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§29 (AMD). PL 1991, c. 846, §35 (AMD). PL 2011, c. 1, Pt. EE, §1 (AMD). PL 2011, c. 1, Pt. EE,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§4074.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§4074.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§4074.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