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§4315. TRANSPORTATION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