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4317</w:t>
        <w:t xml:space="preserve">.  </w:t>
      </w:r>
      <w:r>
        <w:rPr>
          <w:b/>
        </w:rPr>
        <w:t xml:space="preserve">Authorized law enforcement</w:t>
      </w:r>
    </w:p>
    <w:p>
      <w:pPr>
        <w:jc w:val="both"/>
        <w:spacing w:before="100" w:after="100"/>
        <w:ind w:start="360"/>
        <w:ind w:firstLine="360"/>
      </w:pPr>
      <w:r>
        <w:rPr/>
      </w:r>
      <w:r>
        <w:rPr/>
      </w:r>
      <w:r>
        <w:t xml:space="preserve">State police, county sheriffs and their deputies, municipal enforcement officers, state forest rangers and game wardens are authorized to make inspections, conduct investigations, make arrests and otherwise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1989, c. 214,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§4317. Authorized law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§4317. Authorized law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§4317. AUTHORIZED LAW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