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5113</w:t>
        <w:t xml:space="preserve">.  </w:t>
      </w:r>
      <w:r>
        <w:rPr>
          <w:b/>
        </w:rPr>
        <w:t xml:space="preserve">Surviving spouse</w:t>
      </w:r>
    </w:p>
    <w:p>
      <w:pPr>
        <w:jc w:val="both"/>
        <w:spacing w:before="100" w:after="100"/>
        <w:ind w:start="360"/>
        <w:ind w:firstLine="360"/>
      </w:pPr>
      <w:r>
        <w:rPr/>
      </w:r>
      <w:r>
        <w:rPr/>
      </w:r>
      <w:r>
        <w:t xml:space="preserve">A taxpayer who qualifies and files a federal income tax return utilizing the  joint return tax rates as a surviving spouse may file in a similar manner with the State.</w:t>
      </w:r>
      <w:r>
        <w:t xml:space="preserve">  </w:t>
      </w:r>
      <w:r xmlns:wp="http://schemas.openxmlformats.org/drawingml/2010/wordprocessingDrawing" xmlns:w15="http://schemas.microsoft.com/office/word/2012/wordml">
        <w:rPr>
          <w:rFonts w:ascii="Arial" w:hAnsi="Arial" w:cs="Arial"/>
          <w:sz w:val="22"/>
          <w:szCs w:val="22"/>
        </w:rPr>
        <w:t xml:space="preserve">[PL 1983, c. 571, §19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1983, c. 571, §19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§5113. Surviving spouse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§5113. Surviving spouse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§5113. SURVIVING SPOUSE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