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5191</w:t>
        <w:t xml:space="preserve">.  </w:t>
      </w:r>
      <w:r>
        <w:rPr>
          <w:b/>
        </w:rPr>
        <w:t xml:space="preserve">Resident partner -- adjusted gross income</w:t>
      </w:r>
    </w:p>
    <w:p>
      <w:pPr>
        <w:jc w:val="both"/>
        <w:spacing w:before="100" w:after="0"/>
        <w:ind w:start="360"/>
        <w:ind w:firstLine="360"/>
      </w:pPr>
      <w:r>
        <w:rPr>
          <w:b/>
        </w:rPr>
        <w:t>1</w:t>
        <w:t xml:space="preserve">.  </w:t>
      </w:r>
      <w:r>
        <w:rPr>
          <w:b/>
        </w:rPr>
        <w:t xml:space="preserve">Modification in determining the adjusted gross income of a resident partner.</w:t>
        <w:t xml:space="preserve"> </w:t>
      </w:r>
      <w:r>
        <w:t xml:space="preserve"> </w:t>
      </w:r>
      <w:r>
        <w:t xml:space="preserve">Any modification described in </w:t>
      </w:r>
      <w:r>
        <w:t>section 5122</w:t>
      </w:r>
      <w:r>
        <w:t xml:space="preserve"> which relates to an item of partnership income, gain, loss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that item shall be determined in accordance with the partner's distributive share, for federal income tax purposes, of partnership taxable income or loss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§19 (AMD).]</w:t>
      </w:r>
    </w:p>
    <w:p>
      <w:pPr>
        <w:jc w:val="both"/>
        <w:spacing w:before="100" w:after="0"/>
        <w:ind w:start="360"/>
        <w:ind w:firstLine="360"/>
      </w:pPr>
      <w:r>
        <w:rPr>
          <w:b/>
        </w:rPr>
        <w:t>2</w:t>
        <w:t xml:space="preserve">.  </w:t>
      </w:r>
      <w:r>
        <w:rPr>
          <w:b/>
        </w:rPr>
        <w:t xml:space="preserve">Character of items.</w:t>
        <w:t xml:space="preserve"> </w:t>
      </w:r>
      <w:r>
        <w:t xml:space="preserve"> </w:t>
      </w:r>
      <w: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Tax avoidance or evasion.</w:t>
        <w:t xml:space="preserve"> </w:t>
      </w:r>
      <w:r>
        <w:t xml:space="preserve"> </w:t>
      </w:r>
      <w: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respect to that item must be determined in accordance with the partner's distributive share of the taxable income or loss of the partnership generally, exclusive of items that must be separately computed under the Code, Section 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§A233 (AMD). PL 1989, c. 508, §19 (AMD). PL 2011, c. 548,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§5191. Resident partner -- adjusted gross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§5191. Resident partner -- adjusted gross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§5191. RESIDENT PARTNER -- ADJUSTED GROSS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