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5216-D</w:t>
        <w:t xml:space="preserve">.  </w:t>
      </w:r>
      <w:r>
        <w:rPr>
          <w:b/>
        </w:rPr>
        <w:t xml:space="preserve">Maine Fishery Infrastructure Investment Tax Credit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§3 (NEW). PL 2011, c. 548, §30 (AMD). PL 2011, c. 548, §36 (AFF). PL 2011, c. 644, §28 (AMD). PL 2011, c. 644, §33 (AFF). PL 2019, c. 401, Pt. C,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§5216-D. Maine Fishery Infrastructure Investment Tax Credit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§5216-D. Maine Fishery Infrastructure Investment Tax Credit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§5216-D. MAINE FISHERY INFRASTRUCTURE INVESTMENT TAX CREDIT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