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§5219-BB. Credit for rehabilitation of historic properties after 2007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§5219-BB. Credit for rehabilitation of historic properties after 2007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§5219-BB. CREDIT FOR REHABILITATION OF HISTORIC PROPERTIES AFTER 2007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