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§5219-JJ. Maine capital investment credit for 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§5219-JJ. Maine capital investment credit for 2013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§5219-JJ. MAINE CAPITAL INVESTMENT CREDIT FOR 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