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§5219-XX. RENEWABLE CHEMICALS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