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Landlord and tenant</w:t>
      </w:r>
    </w:p>
    <w:p>
      <w:pPr>
        <w:jc w:val="both"/>
        <w:spacing w:before="100" w:after="100"/>
        <w:ind w:start="360"/>
        <w:ind w:firstLine="360"/>
      </w:pPr>
      <w:r>
        <w:rPr/>
      </w:r>
      <w:r>
        <w:rPr/>
      </w:r>
      <w:r>
        <w:t xml:space="preserve">When a tenant paying rent for real estate is taxed therefor, the tenant may retain out of the tenant's rent half of the taxes paid by the tenant. When a landlord is taxed for such real estate, the landlord may recover half of the taxes paid by the landlord and the landlord's rent in the same action against the tenant, unless there is an agreement to the contrary.</w:t>
      </w:r>
      <w:r>
        <w:t xml:space="preserve">  </w:t>
      </w:r>
      <w:r xmlns:wp="http://schemas.openxmlformats.org/drawingml/2010/wordprocessingDrawing" xmlns:w15="http://schemas.microsoft.com/office/word/2012/wordml">
        <w:rPr>
          <w:rFonts w:ascii="Arial" w:hAnsi="Arial" w:cs="Arial"/>
          <w:sz w:val="22"/>
          <w:szCs w:val="22"/>
        </w:rPr>
        <w:t xml:space="preserve">[PL 2019, c. 501,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Landlord and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Landlord and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§556. LANDLORD AND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