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6759</w:t>
        <w:t xml:space="preserve">.  </w:t>
      </w:r>
      <w:r>
        <w:rPr>
          <w:b/>
        </w:rPr>
        <w:t xml:space="preserve">Program administration</w:t>
      </w:r>
    </w:p>
    <w:p>
      <w:pPr>
        <w:jc w:val="both"/>
        <w:spacing w:before="100" w:after="100"/>
        <w:ind w:start="360"/>
        <w:ind w:firstLine="360"/>
      </w:pPr>
      <w:r>
        <w:rPr/>
      </w:r>
      <w:r>
        <w:rPr/>
      </w:r>
      <w:r>
        <w:t xml:space="preserve">The commissioner shall administer this Act.  The commissioner and the State Tax Assessor may adopt rules pursuant to the Maine Administrative Procedure Act for implementation of the program, including, but not limited to, rules for determining and certifying eligibility.  The commissioner may also by rule establish fees, including fees payable to the State Tax Assessor for obligations under this chapter.  Any fees collected pursuant to this chapter must be deposited into a special revenue account administered by the State Tax Assessor and those fees may be used only to defray the actual costs of administering this Act.</w:t>
      </w:r>
      <w:r>
        <w:t xml:space="preserve">  </w:t>
      </w:r>
      <w:r xmlns:wp="http://schemas.openxmlformats.org/drawingml/2010/wordprocessingDrawing" xmlns:w15="http://schemas.microsoft.com/office/word/2012/wordml">
        <w:rPr>
          <w:rFonts w:ascii="Arial" w:hAnsi="Arial" w:cs="Arial"/>
          <w:sz w:val="22"/>
          <w:szCs w:val="22"/>
        </w:rPr>
        <w:t xml:space="preserve">[PL 2011, c. 655, Pt. DD, §16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2011, c. 655, Pt. DD, §16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§6759.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§6759.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§6759.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