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759-A</w:t>
        <w:t xml:space="preserve">.  </w:t>
      </w:r>
      <w:r>
        <w:rPr>
          <w:b/>
        </w:rPr>
        <w:t xml:space="preserve">Prohibition on commingling funds</w:t>
      </w:r>
    </w:p>
    <w:p>
      <w:pPr>
        <w:jc w:val="both"/>
        <w:spacing w:before="100" w:after="100"/>
        <w:ind w:start="360"/>
        <w:ind w:firstLine="360"/>
      </w:pPr>
      <w:r>
        <w:rPr/>
      </w:r>
      <w:r>
        <w:rPr/>
      </w:r>
      <w:r>
        <w:t xml:space="preserve">A tax collector is prohibited from commingling personal funds with any funds collected for a municipality while performing the duty of tax collector.</w:t>
      </w:r>
      <w:r>
        <w:t xml:space="preserve">  </w:t>
      </w:r>
      <w:r xmlns:wp="http://schemas.openxmlformats.org/drawingml/2010/wordprocessingDrawing" xmlns:w15="http://schemas.microsoft.com/office/word/2012/wordml">
        <w:rPr>
          <w:rFonts w:ascii="Arial" w:hAnsi="Arial" w:cs="Arial"/>
          <w:sz w:val="22"/>
          <w:szCs w:val="22"/>
        </w:rPr>
        <w:t xml:space="preserve">[PL 2009, c. 193,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§759-A. Prohibition on commingling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§759-A. Prohibition on commingling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§759-A. PROHIBITION ON COMMINGLING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