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§941. CIVIL ACTION WITH SPECIAL ATTACHMENTS;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