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Composition</w:t>
      </w:r>
    </w:p>
    <w:p>
      <w:pPr>
        <w:jc w:val="both"/>
        <w:spacing w:before="100" w:after="100"/>
        <w:ind w:start="360"/>
        <w:ind w:firstLine="360"/>
      </w:pPr>
      <w:r>
        <w:rPr>
          <w:b/>
        </w:rPr>
        <w:t>1</w:t>
        <w:t xml:space="preserve">.  </w:t>
      </w:r>
      <w:r>
        <w:rPr>
          <w:b/>
        </w:rPr>
        <w:t xml:space="preserve">State military forces.</w:t>
        <w:t xml:space="preserve"> </w:t>
      </w:r>
      <w:r>
        <w:t xml:space="preserve"> </w:t>
      </w:r>
      <w:r>
        <w:t xml:space="preserve">The state military forces shall consist of:</w:t>
      </w:r>
    </w:p>
    <w:p>
      <w:pPr>
        <w:jc w:val="both"/>
        <w:spacing w:before="100" w:after="0"/>
        <w:ind w:start="720"/>
      </w:pPr>
      <w:r>
        <w:rPr/>
        <w:t>A</w:t>
        <w:t xml:space="preserve">.  </w:t>
      </w:r>
      <w:r>
        <w:rPr/>
      </w:r>
      <w:r>
        <w:t xml:space="preserve">The Maine Army National Guard and the Maine Air National Guard, referred to in this Title as the "National Guard," when either or both are not in federal service and state military forces provided under </w:t>
      </w:r>
      <w:r>
        <w:t>section 3, subsection 1, paragraph D</w:t>
      </w:r>
      <w:r>
        <w:t xml:space="preserve">, subparagraph (22), but not the Maine Military Authority; and</w:t>
      </w:r>
      <w:r>
        <w:t xml:space="preserve">  </w:t>
      </w:r>
      <w:r xmlns:wp="http://schemas.openxmlformats.org/drawingml/2010/wordprocessingDrawing" xmlns:w15="http://schemas.microsoft.com/office/word/2012/wordml">
        <w:rPr>
          <w:rFonts w:ascii="Arial" w:hAnsi="Arial" w:cs="Arial"/>
          <w:sz w:val="22"/>
          <w:szCs w:val="22"/>
        </w:rPr>
        <w:t xml:space="preserve">[PL 2017, c. 108, §2 (AMD).]</w:t>
      </w:r>
    </w:p>
    <w:p>
      <w:pPr>
        <w:jc w:val="both"/>
        <w:spacing w:before="100" w:after="0"/>
        <w:ind w:start="720"/>
      </w:pPr>
      <w:r>
        <w:rPr/>
        <w:t>B</w:t>
        <w:t xml:space="preserve">.  </w:t>
      </w:r>
      <w:r>
        <w:rPr/>
      </w:r>
      <w:r>
        <w:t xml:space="preserve">The militia, the naval militia and the Maine State Guard when and if organized by direction of the Governor pursuant to the authority set forth in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§15 (AMD). PL 2003, c. 342, §2 (AMD). PL 2017, c. 108,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§102.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