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503-A</w:t>
        <w:t xml:space="preserve">.  </w:t>
      </w:r>
      <w:r>
        <w:rPr>
          <w:b/>
        </w:rPr>
        <w:t xml:space="preserve">Rules</w:t>
      </w:r>
    </w:p>
    <w:p>
      <w:pPr>
        <w:jc w:val="both"/>
        <w:spacing w:before="100" w:after="100"/>
        <w:ind w:start="360"/>
        <w:ind w:firstLine="360"/>
      </w:pPr>
      <w:r>
        <w:rPr/>
      </w:r>
      <w:r>
        <w:rPr/>
      </w:r>
      <w:r>
        <w:t xml:space="preserve">The Commissioner of Defense, Veterans and Emergency Management may, in accordance with </w:t>
      </w:r>
      <w:r>
        <w:t>Title 5, chapter 375, subchapter II</w:t>
      </w:r>
      <w:r>
        <w:t xml:space="preserve">, adopt reasonable rules necessary to carry out this chapter, provided that regulations pertaining to the management of the Maine Veterans' Memorial Cemetery System are not rules within the meaning of </w:t>
      </w:r>
      <w:r>
        <w:t>Title 5, section 8002,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626, §10 (NEW). PL 1997, c. 455, §32 (AMD). PL 2001, c. 662, §62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§503-A.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§503-A.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§503-A.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