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Hunting Opportunities for Disabled Veterans Fund</w:t>
      </w:r>
    </w:p>
    <w:p>
      <w:pPr>
        <w:jc w:val="both"/>
        <w:spacing w:before="100" w:after="100"/>
        <w:ind w:start="360"/>
        <w:ind w:firstLine="360"/>
      </w:pPr>
      <w:r>
        <w:rPr/>
      </w:r>
      <w:r>
        <w:rPr/>
      </w:r>
      <w:r>
        <w:t xml:space="preserve">The Hunting Opportunities for Disabled Veterans Fund, referred to in this section as "the fund," is established as a nonlapsing fund administered by the director for the purpose of supporting hunting opportunities in the State for disabled veterans.  The fund receives transfers to the fund in accordance with </w:t>
      </w:r>
      <w:r>
        <w:t>Title 12, section 10201, subsection 7</w:t>
      </w:r>
      <w:r>
        <w:t xml:space="preserve">.  The director may also accept and deposit into the fund any monetary gifts, donations or other contributions from public or private sources for the purposes of the fund.  To the extent funds are available in the fund, the director, with assistance from the Department of Inland Fisheries and Wildlife, shall request proposals for use of those funds from organizations that provide disabled veterans with hunting opportunities in the State and shall fund those proposals that, as determined by the director, will most effectively support the purposes of the fund.  The Commissioner of Defense, Veterans and Emergency Management may adopt rules governing the process for accepting proposals and disbursing funds from the fund.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 Hunting Opportunities for Disabled Veterans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Hunting Opportunities for Disabled Veterans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§516. HUNTING OPPORTUNITIES FOR DISABLED VETERANS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