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799</w:t>
        <w:t xml:space="preserve">.  </w:t>
      </w:r>
      <w:r>
        <w:rPr>
          <w:b/>
        </w:rPr>
        <w:t xml:space="preserve">Toxic chemical release reports</w:t>
      </w:r>
    </w:p>
    <w:p>
      <w:pPr>
        <w:jc w:val="both"/>
        <w:spacing w:before="100" w:after="100"/>
        <w:ind w:start="360"/>
        <w:ind w:firstLine="360"/>
      </w:pPr>
      <w:r>
        <w:rPr/>
      </w:r>
      <w:r>
        <w:rPr/>
      </w:r>
      <w:r>
        <w:t xml:space="preserve">Under this section, the owner or operator of every facility with 10 or more employees and within Standard Industrial Classification Codes 20-39 must file toxic chemical release reports for routine releases with the United States Environmental Protection Agency, the Department of Environmental Protection, the commission and the local emergency planning committee by October 1, 1989 and annually thereafter consistent with the Superfund Amendments and Reauthorization Act of 1986, Public Law 99-499, Title III, Section 313, and 40 Code of Federal Regulations, Part 372.  Those reports must be made available to the public by the commission and the local emergency planning committee.</w:t>
      </w:r>
      <w:r>
        <w:t xml:space="preserve">  </w:t>
      </w:r>
      <w:r xmlns:wp="http://schemas.openxmlformats.org/drawingml/2010/wordprocessingDrawing" xmlns:w15="http://schemas.microsoft.com/office/word/2012/wordml">
        <w:rPr>
          <w:rFonts w:ascii="Arial" w:hAnsi="Arial" w:cs="Arial"/>
          <w:sz w:val="22"/>
          <w:szCs w:val="22"/>
        </w:rPr>
        <w:t xml:space="preserve">[PL 2009, c. 579, Pt. B, §4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§4 (AMD). PL 1993, c. 355, §2 (AMD). PL 2009, c. 252, §6 (AMD). PL 2009, c. 579, Pt. B, §4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§799. Toxic chemical release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§799. Toxic chemical release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§799. TOXIC CHEMICAL RELEASE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