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Agency responsibilities</w:t>
      </w:r>
    </w:p>
    <w:p>
      <w:pPr>
        <w:jc w:val="both"/>
        <w:spacing w:before="100" w:after="100"/>
        <w:ind w:start="360"/>
        <w:ind w:firstLine="360"/>
      </w:pPr>
      <w:r>
        <w:rPr/>
      </w:r>
      <w:r>
        <w:rPr/>
      </w:r>
      <w:r>
        <w:t xml:space="preserve">The Maine Emergency Management Agency has the following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Review facility emergency plans.</w:t>
        <w:t xml:space="preserve"> </w:t>
      </w:r>
      <w:r>
        <w:t xml:space="preserve"> </w:t>
      </w:r>
      <w:r>
        <w:t xml:space="preserve">The agency shall review facility area emergency plans submitted to the commission and make recommendations to the commission on their acceptance.  The agency shall also develop model emergency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Manage and coordinate data.</w:t>
        <w:t xml:space="preserve"> </w:t>
      </w:r>
      <w:r>
        <w:t xml:space="preserve"> </w:t>
      </w:r>
      <w:r>
        <w:t xml:space="preserve">The agency shall manage and coordinate data submitted pursuant to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Liaison.</w:t>
        <w:t xml:space="preserve"> </w:t>
      </w:r>
      <w:r>
        <w:t xml:space="preserve"> </w:t>
      </w:r>
      <w:r>
        <w:t xml:space="preserve">The agency shall provide liaison to the State Emergency Response Commission, local emergency planning committees and industrial facilities throughout the State that manufacture, use, store or process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Monitor compliance.</w:t>
        <w:t xml:space="preserve"> </w:t>
      </w:r>
      <w:r>
        <w:t xml:space="preserve"> </w:t>
      </w:r>
      <w:r>
        <w:t xml:space="preserve">The agency shall monitor the compliance of facilities, owners and operators with this subchapter and shall conduct inspections as necessary to ensure compliance with this subchapter.  In the event of an accident or incident, the agency may investigate and inspect facilities to determine the cause and circumstances and may order appropriate reporting, facility response mitigation and corrective actions pursuant to any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§803.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