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Immunity</w:t>
      </w:r>
    </w:p>
    <w:p>
      <w:pPr>
        <w:jc w:val="both"/>
        <w:spacing w:before="100" w:after="100"/>
        <w:ind w:start="360"/>
        <w:ind w:firstLine="360"/>
      </w:pPr>
      <w:r>
        <w:rPr/>
      </w:r>
      <w:r>
        <w:rPr/>
      </w:r>
      <w:r>
        <w:t xml:space="preserve">Neither the State nor any of its agencies or political subdivisions nor a person called out pursuant to </w:t>
      </w:r>
      <w:r>
        <w:t>section 784‑A</w:t>
      </w:r>
      <w:r>
        <w:t xml:space="preserve">,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This section does not affect the right of any person to receive benefits to which that person would otherwise be entitled under this chapter, under the Maine Workers' Compensation Act of 1992, under any pension law or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[PL 2003, c. 510, Pt. C,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1993, c. 1, §110 (COR). PL 2001, c. 614, §20 (AMD). PL 2001, c. 662, §88 (AMD). PL 2003, c. 510, §C15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§822.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§822.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