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Reorganization as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§1038. REORGANIZATION AS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