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§1041. CROSSING OTHER PUBLIC UTILITIES AND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