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Landlord access to tenant bill payment information; applicable to all sewer districts</w:t>
      </w:r>
    </w:p>
    <w:p>
      <w:pPr>
        <w:jc w:val="both"/>
        <w:spacing w:before="100" w:after="100"/>
        <w:ind w:start="360"/>
        <w:ind w:firstLine="360"/>
      </w:pPr>
      <w:r>
        <w:rPr/>
      </w:r>
      <w:r>
        <w:rPr/>
      </w:r>
      <w:r>
        <w:t xml:space="preserve">If a tenant is billed for sewer service provided to property rented by the tenant and nonpayment for the service may result in a lien against the property, the sewer district shall provide to the landlord or the landlord’s agent, on request of the landlord or the landlord's agent, the current status of the tenant’s account, including any amounts due or overdue.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r>
      <w:r>
        <w:rPr/>
      </w:r>
      <w:r>
        <w:t xml:space="preserve">This section is deemed to be incorporated into the private and special laws governing a sewer district, and any part of a sewer district charter not in conformity with this section is void, unless the sewer district's charter expressly references this section or former section 1252, subsection 11 and specifically provides that this subsection or former section 1252, subsection 11 does not apply.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§1051. Landlord access to tenant bill payment information; applicable to all sewer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Landlord access to tenant bill payment information; applicable to all sewer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§1051. LANDLORD ACCESS TO TENANT BILL PAYMENT INFORMATION; APPLICABLE TO ALL SEWER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