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Renewal</w:t>
      </w:r>
    </w:p>
    <w:p>
      <w:pPr>
        <w:jc w:val="both"/>
        <w:spacing w:before="100" w:after="100"/>
        <w:ind w:start="360"/>
        <w:ind w:firstLine="360"/>
      </w:pPr>
      <w:r>
        <w:rPr/>
      </w:r>
      <w:r>
        <w:rPr/>
      </w:r>
      <w:r>
        <w:t xml:space="preserve">Each license or certificate issued under this chapter expires one year after the date of issue.  Licensees or certificate holders may apply to the commissioner for the renewal of a license or certificate.  No renewal may be granted if the application is received more than 2 years following expiration of the previously issued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§221 (AMD).]</w:t>
      </w:r>
    </w:p>
    <w:p>
      <w:pPr>
        <w:jc w:val="both"/>
        <w:spacing w:before="100" w:after="100"/>
        <w:ind w:start="360"/>
        <w:ind w:firstLine="360"/>
      </w:pPr>
      <w:r>
        <w:rPr/>
      </w:r>
      <w:r>
        <w:rPr/>
      </w:r>
      <w:r>
        <w:t xml:space="preserve">To qualify for renewal of a license or certificate, the applicant shall submit:</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Fee.</w:t>
        <w:t xml:space="preserve"> </w:t>
      </w:r>
      <w:r>
        <w:t xml:space="preserve"> </w:t>
      </w:r>
      <w:r>
        <w:t xml:space="preserve">The appropriate fee as prescribed in </w:t>
      </w:r>
      <w:r>
        <w:t>section 1278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Training.</w:t>
        <w:t xml:space="preserve"> </w:t>
      </w:r>
      <w:r>
        <w:t xml:space="preserve"> </w:t>
      </w:r>
      <w:r>
        <w:t xml:space="preserve">Evidence of completion of any continuing education or training that may be required by rules promulgated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§222 (AMD).]</w:t>
      </w:r>
    </w:p>
    <w:p>
      <w:pPr>
        <w:jc w:val="both"/>
        <w:spacing w:before="100" w:after="0"/>
        <w:ind w:start="360"/>
        <w:ind w:firstLine="360"/>
      </w:pPr>
      <w:r>
        <w:rPr>
          <w:b/>
        </w:rPr>
        <w:t>3</w:t>
        <w:t xml:space="preserve">.  </w:t>
      </w:r>
      <w:r>
        <w:rPr>
          <w:b/>
        </w:rPr>
        <w:t xml:space="preserve">Disclosure.</w:t>
        <w:t xml:space="preserve"> </w:t>
      </w:r>
      <w:r>
        <w:t xml:space="preserve"> </w:t>
      </w:r>
      <w:r>
        <w:t xml:space="preserve">A signed statement disclosing any violations of asbestos abatement standards for which the applicant may have been cited by a regulatory agency of the Federal Government or the State.  If no citations were received during the previous year, that fact shall be stated.  The disclosure shall include evidence that all penalties and fees assessed to the applicant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