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Exemptions</w:t>
      </w:r>
    </w:p>
    <w:p>
      <w:pPr>
        <w:jc w:val="both"/>
        <w:spacing w:before="100" w:after="100"/>
        <w:ind w:start="360"/>
        <w:ind w:firstLine="360"/>
      </w:pPr>
      <w:r>
        <w:rPr/>
      </w:r>
      <w:r>
        <w:rPr/>
      </w:r>
      <w:r>
        <w:t xml:space="preserve">Rules and regulations adopted pursuant to this chapter concerning the location, establishment and construction of solid waste disposal facilities, but not concerning alteration or operation, shall not affect such facilities in existence prior to October 3, 1973. Landscape refuse and fill disposal sites established in connection with public works projects and commonly known as "stump dumps" are exempt from this chapter.</w:t>
      </w:r>
      <w:r>
        <w:t xml:space="preserve">  </w:t>
      </w:r>
      <w:r xmlns:wp="http://schemas.openxmlformats.org/drawingml/2010/wordprocessingDrawing" xmlns:w15="http://schemas.microsoft.com/office/word/2012/wordml">
        <w:rPr>
          <w:rFonts w:ascii="Arial" w:hAnsi="Arial" w:cs="Arial"/>
          <w:sz w:val="22"/>
          <w:szCs w:val="22"/>
        </w:rPr>
        <w:t xml:space="preserve">[PL 1973, c. 788, §213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1973, c. 788, §213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§1308.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§1308.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