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1310-Z</w:t>
        <w:t xml:space="preserve">.  </w:t>
      </w:r>
      <w:r>
        <w:rPr>
          <w:b/>
        </w:rPr>
        <w:t xml:space="preserve">Laboratory analyses</w:t>
      </w:r>
    </w:p>
    <w:p>
      <w:pPr>
        <w:jc w:val="both"/>
        <w:spacing w:before="100" w:after="100"/>
        <w:ind w:start="360"/>
        <w:ind w:firstLine="360"/>
      </w:pPr>
      <w:r>
        <w:rPr/>
      </w:r>
      <w:r>
        <w:rPr/>
      </w:r>
      <w:r>
        <w:t xml:space="preserve">Laboratory analyses required in support of the licensing, operation, closure or postclosure care of a solid waste facility must be performed by a qualified laboratory.  Six months after the adoption of laboratory certification rules required by </w:t>
      </w:r>
      <w:r>
        <w:t>Title 22, section 567</w:t>
      </w:r>
      <w:r>
        <w:t xml:space="preserve">, all laboratories must be certified or exempted from certification pursuant to those rules.</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§1310-Z. Laboratory analyses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§1310-Z. Laboratory analyses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§1310-Z. LABORATORY ANALYSES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