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Emergency</w:t>
      </w:r>
    </w:p>
    <w:p>
      <w:pPr>
        <w:jc w:val="both"/>
        <w:spacing w:before="100" w:after="100"/>
        <w:ind w:start="360"/>
        <w:ind w:firstLine="360"/>
      </w:pPr>
      <w:r>
        <w:rPr/>
      </w:r>
      <w:r>
        <w:rPr/>
      </w:r>
      <w:r>
        <w:t xml:space="preserve">If the commissioner finds, after investigation, that any waste, whether or not hazardous waste, is being handled, transported or otherwise dealt with in a manner that may create a danger to public health or safety, the commissioner may order any person handling, transporting or otherwise dealing with the waste to immediately cease or prevent that activity and to take such action as may be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[RR 2021, c. 2, Pt. B, §284 (COR).]</w:t>
      </w:r>
    </w:p>
    <w:p>
      <w:pPr>
        <w:jc w:val="both"/>
        <w:spacing w:before="100" w:after="100"/>
        <w:ind w:start="360"/>
        <w:ind w:firstLine="360"/>
      </w:pPr>
      <w:r>
        <w:rPr/>
      </w:r>
      <w:r>
        <w:rPr/>
      </w:r>
      <w:r>
        <w:t xml:space="preserve">Any order issued under this section shall contain findings of fact describing, insofar as possible, the waste, the site of the activity and the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1979, c. 699, §16 (RPR).]</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§29 (AMD).]</w:t>
      </w:r>
    </w:p>
    <w:p>
      <w:pPr>
        <w:jc w:val="both"/>
        <w:spacing w:before="100" w:after="100"/>
        <w:ind w:start="360"/>
        <w:ind w:firstLine="360"/>
      </w:pPr>
      <w:r>
        <w:rPr/>
      </w:r>
      <w:r>
        <w:rPr/>
      </w:r>
      <w:r>
        <w:t xml:space="preserve">The person to whom the order is directed shall comply immediately. An order may not be appealed to the Superior Court, but a person to whom it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699, §16 (RPR). PL 1981, c. 430, §19 (AMD). PL 1987, c. 192, §27 (AMD). PL 2005, c. 330, §§29,30 (AMD). RR 2021, c. 2, Pt. B, §284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