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Mitigation of penalties</w:t>
      </w:r>
    </w:p>
    <w:p>
      <w:pPr>
        <w:jc w:val="both"/>
        <w:spacing w:before="100" w:after="0"/>
        <w:ind w:start="360"/>
        <w:ind w:firstLine="360"/>
      </w:pPr>
      <w:r>
        <w:rPr>
          <w:b/>
        </w:rPr>
        <w:t>1</w:t>
        <w:t xml:space="preserve">.  </w:t>
      </w:r>
      <w:r>
        <w:rPr>
          <w:b/>
        </w:rPr>
        <w:t xml:space="preserve">Reporting.</w:t>
        <w:t xml:space="preserve"> </w:t>
      </w:r>
      <w:r>
        <w:t xml:space="preserve"> </w:t>
      </w:r>
      <w:r>
        <w:t xml:space="preserve">The immediate reporting of a discharge or threatened discharge by the responsible party or by the person causing the discharge may be considered in mitigation of any criminal or civil penalties assessed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Removal.</w:t>
        <w:t xml:space="preserve"> </w:t>
      </w:r>
      <w:r>
        <w:t xml:space="preserve"> </w:t>
      </w:r>
      <w:r>
        <w:t xml:space="preserve">If the responsible party or person causing the discharge immediately reports and removes the discharge in accordance with this subchapter, a plan submitted under </w:t>
      </w:r>
      <w:r>
        <w:t>section 1318‑C</w:t>
      </w:r>
      <w:r>
        <w:t xml:space="preserve"> and the rules and orders of the board or commissioner, the party or person is not subject to criminal or civil penalties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1989, c. 890, §§A40,B253 (AMD). PL 1991, c. 208,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§1318. Mitigation of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Mitigation of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§1318. MITIGATION OF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