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Powers of the board</w:t>
      </w:r>
    </w:p>
    <w:p>
      <w:pPr>
        <w:jc w:val="both"/>
        <w:spacing w:before="100" w:after="100"/>
        <w:ind w:start="360"/>
        <w:ind w:firstLine="360"/>
      </w:pPr>
      <w:r>
        <w:rPr>
          <w:b/>
        </w:rPr>
        <w:t>1</w:t>
        <w:t xml:space="preserve">.  </w:t>
      </w:r>
      <w:r>
        <w:rPr>
          <w:b/>
        </w:rPr>
        <w:t xml:space="preserve">Identification of hazardous matter.</w:t>
        <w:t xml:space="preserve"> </w:t>
      </w:r>
    </w:p>
    <w:p>
      <w:pPr>
        <w:jc w:val="both"/>
        <w:spacing w:before="100" w:after="0"/>
        <w:ind w:start="720"/>
      </w:pPr>
      <w:r>
        <w:rPr/>
        <w:t>A</w:t>
        <w:t xml:space="preserve">.  </w:t>
      </w:r>
      <w:r>
        <w:rPr/>
      </w:r>
      <w:r>
        <w:t xml:space="preserve">Any substance designated as hazardous by the United States Environmental Protection Agency in proposed or final regulations under the federal Comprehensive Environmental Response, Compensation, and Liability Act, 42 United States Code, Section 9602, and any substance identified as hazardous waste under </w:t>
      </w:r>
      <w:r>
        <w:t>section 1319‑O</w:t>
      </w:r>
      <w:r>
        <w:t xml:space="preserve">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[RR 2021, c. 1, Pt. A, §51 (COR).]</w:t>
      </w:r>
    </w:p>
    <w:p>
      <w:pPr>
        <w:jc w:val="both"/>
        <w:spacing w:before="100" w:after="0"/>
        <w:ind w:start="720"/>
      </w:pPr>
      <w:r>
        <w:rPr/>
        <w:t>B</w:t>
        <w:t xml:space="preserve">.  </w:t>
      </w:r>
      <w:r>
        <w:rPr/>
      </w:r>
      <w:r>
        <w:t xml:space="preserve">Any substance which has not been so designated by the United States Environmental Protection Agency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Rules adopted under </w:t>
      </w:r>
      <w:r>
        <w:t>paragraph B</w:t>
      </w:r>
      <w:r>
        <w:t xml:space="preserve"> shall be submitted to the Joint Standing Committee on Energy and Natural Resources for review. These rules shall become effective after the next regular session of the Legislature only if approved by Joint Resolution.</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§51 (COR).]</w:t>
      </w:r>
    </w:p>
    <w:p>
      <w:pPr>
        <w:jc w:val="both"/>
        <w:spacing w:before="100" w:after="100"/>
        <w:ind w:start="360"/>
        <w:ind w:firstLine="360"/>
      </w:pPr>
      <w:r>
        <w:rPr>
          <w:b/>
        </w:rPr>
        <w:t>2</w:t>
        <w:t xml:space="preserve">.  </w:t>
      </w:r>
      <w:r>
        <w:rPr>
          <w:b/>
        </w:rPr>
        <w:t xml:space="preserve">Rules.</w:t>
        <w:t xml:space="preserve"> </w:t>
      </w:r>
      <w:r>
        <w:t xml:space="preserve"> </w:t>
      </w:r>
      <w:r>
        <w:t xml:space="preserve">The board shall have authority to adopt rules in order to:</w:t>
      </w:r>
    </w:p>
    <w:p>
      <w:pPr>
        <w:jc w:val="both"/>
        <w:spacing w:before="100" w:after="0"/>
        <w:ind w:start="720"/>
      </w:pPr>
      <w:r>
        <w:rPr/>
        <w:t>A</w:t>
        <w:t xml:space="preserve">.  </w:t>
      </w:r>
      <w:r>
        <w:rPr/>
      </w:r>
      <w:r>
        <w:t xml:space="preserve">Prescribe procedures for reporting discharges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Prescribe procedures, methods, means and equipment to be used in the removal of discharges of hazardous matter; and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Exempt types or methods of discharges of hazardous matter from the requirements of this subchapter that the board determines do not present danger, imminent, present or delayed, to the people of the State or to its natural environment.</w:t>
      </w:r>
      <w:r>
        <w:t xml:space="preserve">  </w:t>
      </w:r>
      <w:r xmlns:wp="http://schemas.openxmlformats.org/drawingml/2010/wordprocessingDrawing" xmlns:w15="http://schemas.microsoft.com/office/word/2012/wordml">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1997, c. 364, §40 (AMD). PL 1999, c. 334, §13 (AMD). RR 2021, c. 1, Pt. A,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 Powers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Powers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 POWERS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