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Immunity</w:t>
      </w:r>
    </w:p>
    <w:p>
      <w:pPr>
        <w:jc w:val="both"/>
        <w:spacing w:before="100" w:after="100"/>
        <w:ind w:start="360"/>
        <w:ind w:firstLine="360"/>
      </w:pPr>
      <w:r>
        <w:rPr/>
      </w:r>
      <w:r>
        <w:rPr/>
      </w:r>
      <w:r>
        <w:t xml:space="preserve">Notwithstanding the provisions of Title 14, chapter 741, neither the State nor any agency or employee thereof engaged in any abatement, clean up or mitigation activity, while complying with or attempting to comply with this chapter, or with any rule adopted or directive issued in the implementation of this chapter, may be liable for the death of or injury to persons, or damage to property, as a result of that activity.  This section does not affect the right of any person to receive benefits to which the person would otherwise be entitled under the workers' compensation law or any other pension law, nor the right of any person to receive benefits or compensation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[RR 2021, c. 2,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RR 2021, c. 2, Pt. B, §289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§1369.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§1369.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