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Real and personal property and right of eminent domain</w:t>
      </w:r>
    </w:p>
    <w:p>
      <w:pPr>
        <w:jc w:val="both"/>
        <w:spacing w:before="100" w:after="100"/>
        <w:ind w:start="360"/>
        <w:ind w:firstLine="360"/>
      </w:pPr>
      <w:r>
        <w:rPr/>
      </w:r>
      <w:r>
        <w:rPr/>
      </w:r>
      <w:r>
        <w:t xml:space="preserve">Each disposal district formed under this chapter may acquire and hold real and personal property which it deems necessary for its purposes, and is granted the right of eminent domain; and for those purposes may take and hold, either by exercising its right of eminent domain or by purchase, lease or otherwise, as for public uses any land, real estate, easements or interest therein, necessary for constructing, establishing, maintaining and operating refuse disposal, resource disposal, resource recovery and resource conservation facilities and may provide for the conversion of waste to energy and the transmission thereof.</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No property may be so taken, except as may be necessary for the construction of steam and electric transmission lines, roads and communications equipment, unless the property is located within the disposal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§1732. Real and personal property and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Real and personal property and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§1732. REAL AND PERSONAL PROPERTY AND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