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Trustees</w:t>
      </w:r>
    </w:p>
    <w:p>
      <w:pPr>
        <w:jc w:val="both"/>
        <w:spacing w:before="100" w:after="0"/>
        <w:ind w:start="360"/>
        <w:ind w:firstLine="360"/>
      </w:pPr>
      <w:r>
        <w:rPr>
          <w:b/>
        </w:rPr>
        <w:t>1</w:t>
        <w:t xml:space="preserve">.  </w:t>
      </w:r>
      <w:r>
        <w:rPr>
          <w:b/>
        </w:rPr>
        <w:t xml:space="preserve">Authorization.</w:t>
        <w:t xml:space="preserve"> </w:t>
      </w:r>
      <w:r>
        <w:t xml:space="preserve"> </w:t>
      </w:r>
      <w:r>
        <w:t xml:space="preserve">All the affairs of a watershed district shall be managed by a board of trustees.  The board shall consist of not less than 3 trustees, or not less than 5 trustees in watershed districts involving more than one municipality or one or more municipalities and residents of an unorganized territory.  In addition, the board shall consist of one trustee representing each participating water district. Trustees, other than those representing participating water districts, shall be elected in accordance with this chapter.  The exact number of trustees shall be determined in accordance with </w:t>
      </w:r>
      <w:r>
        <w:t>section 2002</w:t>
      </w:r>
      <w:r>
        <w:t xml:space="preserve">. A watershed district may alter the number of trustees by submitting the proposed alteration to the voters in the same manner as provided in </w:t>
      </w:r>
      <w:r>
        <w:t>section 2002, subsection 7</w:t>
      </w:r>
      <w:r>
        <w:t xml:space="preserve">. No municipality nor unorganized territory within any watershed district may have less than one trustee. A quorum of the trustees may conduct the affairs of the district even if there is a vacancy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§5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watershed district may petition for the recall of any trustee after the first year of the term for which the trustee is elected by filing a petition with the municipal clerk, or the county commissioners in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The trustee against whom the recall petition is filed shall be a candidate at the special election without nomination, unless the trustee resigns within 10 days after the original filing of the petition. There shall be no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The trustee against whom a recall petition has been filed shall continue to perform the duties of office until the result of the special election is officially declared. The person receiving the highest number of votes at the special election shall be declared elected for the remainder of the term. If the incumbent receives the highest number of votes, the incumbent shall continue in office. If another receives the highest number of votes, that person shall succeed the incumbent, if qualified,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